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F406E">
      <w:pPr>
        <w:pStyle w:val="1"/>
      </w:pPr>
      <w:r>
        <w:fldChar w:fldCharType="begin"/>
      </w:r>
      <w:r>
        <w:instrText>HYPERLINK "garantF1://22800583.0"</w:instrText>
      </w:r>
      <w:r>
        <w:fldChar w:fldCharType="separate"/>
      </w:r>
      <w:r>
        <w:rPr>
          <w:rStyle w:val="a4"/>
          <w:b w:val="0"/>
          <w:bCs w:val="0"/>
        </w:rPr>
        <w:t>Приказ Комитета по культуре Ленинградской области</w:t>
      </w:r>
      <w:r>
        <w:rPr>
          <w:rStyle w:val="a4"/>
          <w:b w:val="0"/>
          <w:bCs w:val="0"/>
        </w:rPr>
        <w:br/>
        <w:t>от 10 июня 2013 г. N 20</w:t>
      </w:r>
      <w:r>
        <w:rPr>
          <w:rStyle w:val="a4"/>
          <w:b w:val="0"/>
          <w:bCs w:val="0"/>
        </w:rPr>
        <w:br/>
        <w:t xml:space="preserve">"Об утверждении перечня критериев </w:t>
      </w:r>
      <w:r>
        <w:rPr>
          <w:rStyle w:val="a4"/>
          <w:b w:val="0"/>
          <w:bCs w:val="0"/>
        </w:rPr>
        <w:t>оценки работы государственных учреждений, подведомственных комитету по культуре Ленинградской области"</w:t>
      </w:r>
      <w:r>
        <w:fldChar w:fldCharType="end"/>
      </w:r>
    </w:p>
    <w:p w:rsidR="00000000" w:rsidRDefault="007F406E"/>
    <w:p w:rsidR="00000000" w:rsidRDefault="007F406E">
      <w:r>
        <w:t xml:space="preserve">В целях реализации </w:t>
      </w:r>
      <w:hyperlink r:id="rId5" w:history="1">
        <w:r>
          <w:rPr>
            <w:rStyle w:val="a4"/>
          </w:rPr>
          <w:t>областного закона</w:t>
        </w:r>
      </w:hyperlink>
      <w:r>
        <w:t xml:space="preserve"> от 8 июня 2011 года N </w:t>
      </w:r>
      <w:r>
        <w:t xml:space="preserve">32-оз "Об оплате труда работников государственных бюджетных учреждений Ленинградской области и государственных казенных учреждениях Ленинградской области", а также в соответствии с </w:t>
      </w:r>
      <w:hyperlink r:id="rId6" w:history="1">
        <w:r>
          <w:rPr>
            <w:rStyle w:val="a4"/>
          </w:rPr>
          <w:t>пунктом 6</w:t>
        </w:r>
      </w:hyperlink>
      <w:r>
        <w:t xml:space="preserve"> Положения,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Ленинградской области от 15 июня 2011 года N 173 "Об утверждении Положения о системах оплаты труда в государственных бюджетных учреждениях Ленинградской области и государственных казенных учреж</w:t>
      </w:r>
      <w:r>
        <w:t xml:space="preserve">дениях Ленинградской области по видам экономической деятельности", на основании </w:t>
      </w:r>
      <w:hyperlink r:id="rId8" w:history="1">
        <w:r>
          <w:rPr>
            <w:rStyle w:val="a4"/>
          </w:rPr>
          <w:t>распоряжения</w:t>
        </w:r>
      </w:hyperlink>
      <w:r>
        <w:t xml:space="preserve"> правительства Ленинградской области от 29 апреля 2013 года N 181-р "О мерах по поэтапному повышению заработной платы работников</w:t>
      </w:r>
      <w:r>
        <w:t xml:space="preserve"> учреждений культуры Ленинградской области и утверждении Плана мероприятий ("дорожной карты"), по повышению эффективности сферы культуры и совершенствованию оплаты труда работников учреждений культуры Ленинградской области" и на основании </w:t>
      </w:r>
      <w:hyperlink r:id="rId9" w:history="1">
        <w:r>
          <w:rPr>
            <w:rStyle w:val="a4"/>
          </w:rPr>
          <w:t>п. 6</w:t>
        </w:r>
      </w:hyperlink>
      <w:r>
        <w:t xml:space="preserve"> Положения о комитете по культуре Ленинградской области,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Ленинградской области от 13 февраля 2008 года N 20,</w:t>
      </w:r>
    </w:p>
    <w:p w:rsidR="00000000" w:rsidRDefault="007F406E">
      <w:r>
        <w:t>приказываю:</w:t>
      </w:r>
    </w:p>
    <w:p w:rsidR="00000000" w:rsidRDefault="007F406E">
      <w:bookmarkStart w:id="1" w:name="sub_1"/>
      <w:r>
        <w:t>1. Утвердить критерии оце</w:t>
      </w:r>
      <w:r>
        <w:t xml:space="preserve">нки эффективности работы руководителей Государственных учреждений культуры подведомственных комитету по культуре Ленинградской области,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.</w:t>
      </w:r>
    </w:p>
    <w:p w:rsidR="00000000" w:rsidRDefault="007F406E">
      <w:bookmarkStart w:id="2" w:name="sub_1001"/>
      <w:bookmarkEnd w:id="1"/>
      <w:r>
        <w:t>2. Утвердить показатели эффективности деятельности государ</w:t>
      </w:r>
      <w:r>
        <w:t xml:space="preserve">ственных учреждений, подведомственных комитету по культуре Ленинградской области, по видам учреждений и основным категориям работников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.</w:t>
      </w:r>
    </w:p>
    <w:p w:rsidR="00000000" w:rsidRDefault="007F406E">
      <w:bookmarkStart w:id="3" w:name="sub_2"/>
      <w:bookmarkEnd w:id="2"/>
      <w:r>
        <w:t xml:space="preserve">3. Признать утратившим силу </w:t>
      </w:r>
      <w:hyperlink r:id="rId11" w:history="1">
        <w:r>
          <w:rPr>
            <w:rStyle w:val="a4"/>
          </w:rPr>
          <w:t>приказ</w:t>
        </w:r>
      </w:hyperlink>
      <w:r>
        <w:t xml:space="preserve"> комитета по культуре Ленинградской области от 16 июля 2012 года N 26 "Об утверждении перечня критериев оценки деятельности государственных учреждений, подведомственных комитету по культуре Ленинградской области".</w:t>
      </w:r>
    </w:p>
    <w:p w:rsidR="00000000" w:rsidRDefault="007F406E">
      <w:bookmarkStart w:id="4" w:name="sub_3"/>
      <w:bookmarkEnd w:id="3"/>
      <w:r>
        <w:t>4. Настоящий приказ в</w:t>
      </w:r>
      <w:r>
        <w:t xml:space="preserve">ступает в силу с момента его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7F406E">
      <w:bookmarkStart w:id="5" w:name="sub_4"/>
      <w:bookmarkEnd w:id="4"/>
      <w:r>
        <w:t>5. Контроль за исполнением настоящего приказа возложить на первого заместителя председателя комитета Желдину З. В.</w:t>
      </w:r>
    </w:p>
    <w:bookmarkEnd w:id="5"/>
    <w:p w:rsidR="00000000" w:rsidRDefault="007F406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406E">
            <w:pPr>
              <w:pStyle w:val="afff0"/>
            </w:pPr>
            <w:r>
              <w:t>Председатель комитета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406E">
            <w:pPr>
              <w:pStyle w:val="aff7"/>
              <w:jc w:val="right"/>
            </w:pPr>
            <w:r>
              <w:t>Н. Г. Коно</w:t>
            </w:r>
            <w:r>
              <w:t>ненко</w:t>
            </w:r>
          </w:p>
        </w:tc>
      </w:tr>
    </w:tbl>
    <w:p w:rsidR="00000000" w:rsidRDefault="007F406E"/>
    <w:p w:rsidR="00000000" w:rsidRDefault="007F406E">
      <w:pPr>
        <w:pStyle w:val="afa"/>
        <w:rPr>
          <w:color w:val="000000"/>
          <w:sz w:val="16"/>
          <w:szCs w:val="16"/>
        </w:rPr>
      </w:pPr>
      <w:bookmarkStart w:id="6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7" w:name="sub_490830444"/>
    <w:bookmarkEnd w:id="6"/>
    <w:p w:rsidR="00000000" w:rsidRDefault="007F406E">
      <w:pPr>
        <w:pStyle w:val="afb"/>
      </w:pPr>
      <w:r>
        <w:fldChar w:fldCharType="begin"/>
      </w:r>
      <w:r>
        <w:instrText>HYPERLINK "garantF1://22826828.1"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Комитета по культуре Ленинградской области от 18 июня 2015 г. N 01-03/15-30 настоящее приложение изложено в новой редакции, </w:t>
      </w:r>
      <w:hyperlink r:id="rId13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14" w:history="1">
        <w:r>
          <w:rPr>
            <w:rStyle w:val="a4"/>
          </w:rPr>
          <w:t>опубликования</w:t>
        </w:r>
      </w:hyperlink>
      <w:r>
        <w:t xml:space="preserve"> названного приказа</w:t>
      </w:r>
    </w:p>
    <w:bookmarkEnd w:id="7"/>
    <w:p w:rsidR="00000000" w:rsidRDefault="007F406E">
      <w:pPr>
        <w:pStyle w:val="afb"/>
      </w:pPr>
      <w:r>
        <w:fldChar w:fldCharType="begin"/>
      </w:r>
      <w:r>
        <w:instrText>HYPERLINK "garantF1://22825953.1000"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7F406E">
      <w:pPr>
        <w:ind w:firstLine="698"/>
        <w:jc w:val="right"/>
      </w:pPr>
      <w:r>
        <w:rPr>
          <w:rStyle w:val="a3"/>
        </w:rPr>
        <w:t>Приложение 1</w:t>
      </w:r>
    </w:p>
    <w:p w:rsidR="00000000" w:rsidRDefault="007F406E"/>
    <w:p w:rsidR="00000000" w:rsidRDefault="007F406E">
      <w:pPr>
        <w:pStyle w:val="1"/>
      </w:pPr>
      <w:r>
        <w:t>Критерии</w:t>
      </w:r>
      <w:r>
        <w:br/>
        <w:t>оценки эффективности работы руко</w:t>
      </w:r>
      <w:r>
        <w:t>водителей государственных учреждений, подведомственных Комитету по культуре Ленинградской области</w:t>
      </w:r>
      <w:r>
        <w:br/>
      </w:r>
      <w:r>
        <w:lastRenderedPageBreak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комитета по культуре Ленинградской области</w:t>
      </w:r>
      <w:r>
        <w:br/>
        <w:t>от 10 июня 2013 г. N 20)</w:t>
      </w:r>
    </w:p>
    <w:p w:rsidR="00000000" w:rsidRDefault="007F40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744"/>
        <w:gridCol w:w="222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Целевые пок</w:t>
            </w:r>
            <w:r>
              <w:t>азатели эффективности деятельности руководителя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Оценка деятельности руководителя учреждения в баллах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Форма и периодичность отчетности, содержащая информацию о выполнении показателя и период предоставления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1. Показатели основной деятельности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bookmarkStart w:id="8" w:name="sub_11"/>
            <w:r>
              <w:t>1.1</w:t>
            </w:r>
            <w:bookmarkEnd w:id="8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Выполнение целевых показателей эффективности работы учреждения в полном объеме, соответствующее значению коэффициента эффективности работы учреждения в интервале [0,81; 1]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Отчет о выполнении г</w:t>
            </w:r>
            <w:r>
              <w:t>осударственного задания/Отчет об исполнении основной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bookmarkStart w:id="9" w:name="sub_12"/>
            <w:r>
              <w:t>1.2</w:t>
            </w:r>
            <w:bookmarkEnd w:id="9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Выполнение целевых показателей эффективности работы учреждения, соответствующее значению коэффициента эффективности работы учреждения в интервале [0,5; 0,8]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10-16 (пропорцио</w:t>
            </w:r>
            <w:r>
              <w:t>нально расчетному коэффициенту эффективности работы учреждения)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Отчет о выполнении государственного задания/Отчет об исполнении основной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2. Показатели финансово-экономической деятельности, исполнительской дисциплины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bookmarkStart w:id="10" w:name="sub_21"/>
            <w:r>
              <w:t>2.1</w:t>
            </w:r>
            <w:bookmarkEnd w:id="10"/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Своевременное и полное исполнение принятых финансовых обязательств: за I квартал - не менее 15%; за II квартал - не менее 40%; за III квартал - не менее 70%; за IV квартал - не менее 95%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Отчет учреждения. Отчет о принятых учреждением обязательств</w:t>
            </w:r>
            <w:r>
              <w:t>ах (</w:t>
            </w:r>
            <w:hyperlink r:id="rId15" w:history="1">
              <w:r>
                <w:rPr>
                  <w:rStyle w:val="a4"/>
                </w:rPr>
                <w:t>ф. 0503738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Отчет о принятых бюджетных обязательствах (</w:t>
            </w:r>
            <w:hyperlink r:id="rId16" w:history="1">
              <w:r>
                <w:rPr>
                  <w:rStyle w:val="a4"/>
                </w:rPr>
                <w:t>ф. 0503128</w:t>
              </w:r>
            </w:hyperlink>
            <w:r>
              <w:t>) Срок: на 01.07 и на 01.01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2.2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Отсутствие просроченной кредиторской и нереальной ко взысканию дебиторской задолженности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Годовой отчет бюджетной (бухгалтерской) отчетности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Отсутствие задолженности по налогам и сборам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Ежегодный отчет Годовой отчет бюджетной (бухгалтерской) отчетности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bookmarkStart w:id="11" w:name="sub_24"/>
            <w:r>
              <w:lastRenderedPageBreak/>
              <w:t>2.4</w:t>
            </w:r>
            <w:bookmarkEnd w:id="11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Отсутствие замечаний комитета по культуре Ленинградской области по выполнению поручений комитета по культуре Ленинградской области, а также соблюдению сроков и п</w:t>
            </w:r>
            <w:r>
              <w:t>орядка предоставления статистической и бухгалтерской отчетности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Ежемесячная отчетность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bookmarkStart w:id="12" w:name="sub_25"/>
            <w:r>
              <w:t>2.5</w:t>
            </w:r>
            <w:bookmarkEnd w:id="12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Рост средней заработной платы работников учреждения в отчетном периоде по сравнению с предыдущим периодом (за год - не менее чем на 20%)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Отчет учр</w:t>
            </w:r>
            <w:r>
              <w:t>еждения, ЗП-культура, ЗП-образование. Ежеквартально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bookmarkStart w:id="13" w:name="sub_26"/>
            <w:r>
              <w:t>2.6</w:t>
            </w:r>
            <w:bookmarkEnd w:id="13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Отсутствие нарушений сроков предост</w:t>
            </w:r>
            <w:r>
              <w:t>авления информации по запросам комитета по культуре Ленинградской области, сторонних организаций и ее соответствие по форме и содержанию запрашиваемой информации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bookmarkStart w:id="14" w:name="sub_27"/>
            <w:r>
              <w:t>2.7</w:t>
            </w:r>
            <w:bookmarkEnd w:id="14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Отсутствие замечаний проверяющих органов по результатам проверок деятельн</w:t>
            </w:r>
            <w:r>
              <w:t>ости учреждения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Итого за квартал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3. Аннулирование баллов, начисленных работодателю учреждения за выполнение целевых показателей деятельности в отчетном периоде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Наличие фактов нецелевого использования средств субсидий и государственного имущества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 xml:space="preserve">Аннулирование баллов, начисленных по </w:t>
            </w:r>
            <w:hyperlink w:anchor="sub_21" w:history="1">
              <w:r>
                <w:rPr>
                  <w:rStyle w:val="a4"/>
                </w:rPr>
                <w:t>пп. 2.1 - 2.3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Отчет учреждения, результаты работы комиссий комитета по культуре Ленинградской области, других</w:t>
            </w:r>
            <w:r>
              <w:t xml:space="preserve"> уполномоченных органов исполнительной власти Ленинградской области и контролирующих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3.2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Невыполнение целевых показателей эффективности деятельности, соответствующее значению коэффициента эффективности работы в интервале [0; 0,49]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 xml:space="preserve">Аннулирование баллов, начисленных по </w:t>
            </w:r>
            <w:hyperlink w:anchor="sub_11" w:history="1">
              <w:r>
                <w:rPr>
                  <w:rStyle w:val="a4"/>
                </w:rPr>
                <w:t>пп. 1.1</w:t>
              </w:r>
            </w:hyperlink>
            <w:r>
              <w:t xml:space="preserve">, </w:t>
            </w:r>
            <w:hyperlink w:anchor="sub_12" w:history="1">
              <w:r>
                <w:rPr>
                  <w:rStyle w:val="a4"/>
                </w:rPr>
                <w:t>1.2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Отчет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Непредставление (несвоевременное) статистической, бухгалтерской, бюджетной отчетности, информации о штатной численности работников учреж</w:t>
            </w:r>
            <w:r>
              <w:t>дения в установленный срок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 xml:space="preserve">Аннулирование баллов, начисленных по </w:t>
            </w:r>
            <w:hyperlink w:anchor="sub_24" w:history="1">
              <w:r>
                <w:rPr>
                  <w:rStyle w:val="a4"/>
                </w:rPr>
                <w:t>пп. 2.4</w:t>
              </w:r>
            </w:hyperlink>
            <w:r>
              <w:t xml:space="preserve">, </w:t>
            </w:r>
            <w:hyperlink w:anchor="sub_25" w:history="1">
              <w:r>
                <w:rPr>
                  <w:rStyle w:val="a4"/>
                </w:rPr>
                <w:t>2.5</w:t>
              </w:r>
            </w:hyperlink>
            <w:r>
              <w:t xml:space="preserve">, </w:t>
            </w:r>
            <w:hyperlink w:anchor="sub_26" w:history="1">
              <w:r>
                <w:rPr>
                  <w:rStyle w:val="a4"/>
                </w:rPr>
                <w:t>2.6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Постоянно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3.4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f0"/>
            </w:pPr>
            <w:r>
              <w:t xml:space="preserve">Наличие замечаний проверяющих </w:t>
            </w:r>
            <w:r>
              <w:lastRenderedPageBreak/>
              <w:t>органов по результатам проверок деятельности учреждений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lastRenderedPageBreak/>
              <w:t xml:space="preserve">Аннулирование </w:t>
            </w:r>
            <w:r>
              <w:lastRenderedPageBreak/>
              <w:t xml:space="preserve">баллов, начисленных по </w:t>
            </w:r>
            <w:hyperlink w:anchor="sub_27" w:history="1">
              <w:r>
                <w:rPr>
                  <w:rStyle w:val="a4"/>
                </w:rPr>
                <w:t>пп. 2.7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lastRenderedPageBreak/>
              <w:t>Постоянно</w:t>
            </w:r>
          </w:p>
        </w:tc>
      </w:tr>
    </w:tbl>
    <w:p w:rsidR="00000000" w:rsidRDefault="007F406E"/>
    <w:p w:rsidR="00000000" w:rsidRDefault="007F406E"/>
    <w:p w:rsidR="00000000" w:rsidRDefault="007F406E">
      <w:pPr>
        <w:pStyle w:val="afa"/>
        <w:rPr>
          <w:color w:val="000000"/>
          <w:sz w:val="16"/>
          <w:szCs w:val="16"/>
        </w:rPr>
      </w:pPr>
      <w:bookmarkStart w:id="15" w:name="sub_2000"/>
      <w:r>
        <w:rPr>
          <w:color w:val="000000"/>
          <w:sz w:val="16"/>
          <w:szCs w:val="16"/>
        </w:rPr>
        <w:t>Информация об изменениях:</w:t>
      </w:r>
    </w:p>
    <w:bookmarkStart w:id="16" w:name="sub_491106596"/>
    <w:bookmarkEnd w:id="15"/>
    <w:p w:rsidR="00000000" w:rsidRDefault="007F406E">
      <w:pPr>
        <w:pStyle w:val="afb"/>
      </w:pPr>
      <w:r>
        <w:fldChar w:fldCharType="begin"/>
      </w:r>
      <w:r>
        <w:instrText>HYPERLINK "garantF1://22826828.1"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Комитета по культуре Ленинградской области от 18 июня 2015 г. N </w:t>
      </w:r>
      <w:r>
        <w:t xml:space="preserve">01-03/15-30 настоящее приложение изложено в новой редакции, </w:t>
      </w:r>
      <w:hyperlink r:id="rId17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18" w:history="1">
        <w:r>
          <w:rPr>
            <w:rStyle w:val="a4"/>
          </w:rPr>
          <w:t>опубликования</w:t>
        </w:r>
      </w:hyperlink>
      <w:r>
        <w:t xml:space="preserve"> названного приказа</w:t>
      </w:r>
    </w:p>
    <w:bookmarkEnd w:id="16"/>
    <w:p w:rsidR="00000000" w:rsidRDefault="007F406E">
      <w:pPr>
        <w:pStyle w:val="afb"/>
      </w:pPr>
      <w:r>
        <w:fldChar w:fldCharType="begin"/>
      </w:r>
      <w:r>
        <w:instrText>HYPERLINK "garantF1://22825953.2000"</w:instrText>
      </w:r>
      <w:r>
        <w:fldChar w:fldCharType="separate"/>
      </w:r>
      <w:r>
        <w:rPr>
          <w:rStyle w:val="a4"/>
        </w:rPr>
        <w:t>См. текст приложе</w:t>
      </w:r>
      <w:r>
        <w:rPr>
          <w:rStyle w:val="a4"/>
        </w:rPr>
        <w:t>ния в предыдущей редакции</w:t>
      </w:r>
      <w:r>
        <w:fldChar w:fldCharType="end"/>
      </w:r>
    </w:p>
    <w:p w:rsidR="00000000" w:rsidRDefault="007F406E">
      <w:pPr>
        <w:ind w:firstLine="698"/>
        <w:jc w:val="right"/>
      </w:pPr>
      <w:r>
        <w:rPr>
          <w:rStyle w:val="a3"/>
        </w:rPr>
        <w:t xml:space="preserve">Приложение 2 </w:t>
      </w:r>
    </w:p>
    <w:p w:rsidR="00000000" w:rsidRDefault="007F406E"/>
    <w:p w:rsidR="00000000" w:rsidRDefault="007F406E">
      <w:pPr>
        <w:pStyle w:val="1"/>
      </w:pPr>
      <w:r>
        <w:t xml:space="preserve">Показатели </w:t>
      </w:r>
      <w:r>
        <w:br/>
        <w:t>эффективности деятельности государственных учреждений, подведомственных Комитету по культуре Ленинградской области, по видам учреждений и основным категориям работников</w:t>
      </w:r>
    </w:p>
    <w:p w:rsidR="00000000" w:rsidRDefault="007F40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9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 xml:space="preserve">Наименование показателя </w:t>
            </w:r>
            <w:r>
              <w:t>эффективности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Библиотеки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выданных документов (единиц) В том числе: - с выездных выставок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обращений в библиотеку (посещений) в отчетный период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обращений в библиотеку в отчетный период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библиотечных специалистов в Ленинградской области, участвовавших в мероприятиях государственных библиотек по направлениям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изданных аналитических, информ</w:t>
            </w:r>
            <w:r>
              <w:t>ационных и методических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справок, консультаций для пользователей (всего), в том числе:</w:t>
            </w:r>
          </w:p>
          <w:p w:rsidR="00000000" w:rsidRDefault="007F406E">
            <w:pPr>
              <w:pStyle w:val="afff0"/>
            </w:pPr>
            <w:r>
              <w:t>- количество справок, консультаций для пользователей в автоматизированном (виртуальном) режиме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полнотекстовых оцифрованных документов, включенных в состав электронной библиотеки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8.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записей электронного каталога и других баз данных, создаваемых библиотекой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9.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записей, переданных библиотекой в Сводн</w:t>
            </w:r>
            <w:r>
              <w:t>ый электронный каталог библиотек России (экземпляров)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10.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посещений Интернет-сайта библиотеки (количество обращений в стационарном и удаленном режиме пользователей к электронным информационным ресурсам библиотеки)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Соответствие сре</w:t>
            </w:r>
            <w:r>
              <w:t>днего времени ожидания выполнения заявки/запроса при посещении библиотеки на получение документов, имеющихся в библиотеке, заданным параметрам/контрольным значениям/среднему расчетному времени ожидания выполнения заявки/запроса в данной библиотеке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</w:t>
            </w:r>
            <w:r>
              <w:t>ло пользователей, удовлетворенных качеством услуг библиотеки, от общего числа зарегистрированных пользователей/от общего числа опрошенных пользователей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lastRenderedPageBreak/>
              <w:t>13.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удовлетворенных запросов пользователей от общего числа запросов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Музеи, выставочные залы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14.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музейных предметов, прошедших регистрацию и внесенных в музейный фонд в результате выполнения работ по выявлению и собиранию музейных предметов и музейных коллекций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15.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музейных предметов, прошед</w:t>
            </w:r>
            <w:r>
              <w:t>ших поколлекционную сверку наличия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16.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музейных предметов, требующих реставрации в текущем году/количество отреставрированных музейных предметов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17.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предметов основного фонда, внесенных в Государственный каталог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18.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Доля опубликованных музейных предметов во всех формах (публичный показ в экспозиции или на выставках музея, научные публикации, предоставление музейных предметов на выс</w:t>
            </w:r>
            <w:r>
              <w:t>тавки других музеев, воспроизведение в печатных изданиях, на электронных и других видах носителей, в том числе в виртуальном режиме) в общем количестве музейных предметов основного фонда 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19.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экспонируемых музейных предметов (экземпл</w:t>
            </w:r>
            <w:r>
              <w:t>яров)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20.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выставок (выставочных проектов) музея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посетителей экспозиций и выставок в музее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посещений Интернет-сайта музея (количество обращений в стационарном и удаленном режиме пользователей к э</w:t>
            </w:r>
            <w:r>
              <w:t>лектронным информационным ресурсам музея)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программ для детей от общего количества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24.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пользователей, удовлетворенных качеством услуг музея, от общего числа зарегистрированных пользователей/от общего числа опрошенных пользователей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25.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музейных предметов, внесенных в электронный каталог, от общего числа основного фонда (проценты)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Театры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26.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новых и капитально-возобновленных спектаклей, всего (единиц), в том числе: - количество новых и капитально-возобновленных спектаклей для детско-юношеской аудитории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27.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публичных показов спектаклей, всего (единиц), в том числе: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спектаклей на стационаре (основная сцена, арендованные площадки);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спектаклей на территории Ленинградской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28.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</w:t>
            </w:r>
            <w:r>
              <w:t>ство публичных показов спектаклей на выезде и гастролях (всего), в том числе: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спектаклей на гастролях по России;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спектаклей на гастролях за рубежом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29.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публичных показов спектаклей д</w:t>
            </w:r>
            <w:r>
              <w:t>ля детско-юношеской аудитории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30.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зрителей согласно реализованным билетам (человек) (данные о числе зрителей указывает в своем отчете та организация, которая производила продажу билетов (которой принадлежит билетная книжка), в том числ</w:t>
            </w:r>
            <w:r>
              <w:t>е: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зрителей на стационаре (основная сцена, арендованные площадки);</w:t>
            </w:r>
          </w:p>
          <w:p w:rsidR="00000000" w:rsidRDefault="007F406E">
            <w:pPr>
              <w:pStyle w:val="afff0"/>
              <w:ind w:left="139"/>
            </w:pPr>
            <w:r>
              <w:lastRenderedPageBreak/>
              <w:t>- количество зрителей на территории Ленинградской области;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зрителей на гастролях по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lastRenderedPageBreak/>
              <w:t>31.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зрителей на мероприятиях для детско-юношеской аудитории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Средняя заполняемость зала на стационаре (процентов) (для учреждений, ведущих билетное хозяйство, согласно реализованным билетам)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7"/>
            </w:pPr>
            <w:r>
              <w:t>Количество новых постановок спектаклей по произведениям современной российской драматургии (написанным не ранее 1992</w:t>
            </w:r>
            <w:r>
              <w:t xml:space="preserve"> г.) (единиц)/количество показов спектаклей по произведениям современной российской драматургии (написанным не ранее 1992 г.) (единиц) (для театров драмы)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34.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 xml:space="preserve">Количество новых постановок спектаклей по произведениям современных композиторов (написанных не </w:t>
            </w:r>
            <w:r>
              <w:t>ранее 1960 г.)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35.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посещений информационного портала (сайта, страницы в социальных сетях) театра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36.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пользователей, удовлетворенных качеством услуг театра, от общего числа зарегистрированных пользователей/от общего числа опрошенных пользователей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Концертные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37.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новых и возобновляемых концертных программ, всего (единиц), в то</w:t>
            </w:r>
            <w:r>
              <w:t>м числе: - количество новых и возобновляемых концертных программ для детско-юношеской аудитории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38.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публичных показов концертных программ, всего (единиц), в том числе: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концертных программ на территории Ленинградск</w:t>
            </w:r>
            <w:r>
              <w:t>ой области;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на выезде и гастролях, всего, в том числе: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концертных программ на гастролях по России;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концертных программ на гастролях за рубежом;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публичных показов концертных программ для детско-юношеской аудитории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39.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концертов, в программу которых включены премьерные произведения (мировая или российская премьера)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40.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концертов, в программу которых включены прои</w:t>
            </w:r>
            <w:r>
              <w:t>зведения современных отечественных композиторов (написанных не ранее 1960 г.)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концертов с участием молодых солистов и дирижеров (до 35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зрителей, всего, в том числе: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зрителей на территории Ленинградской обла</w:t>
            </w:r>
            <w:r>
              <w:t>сти;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зрителей на выезде, всего, в том числе: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зрителей на гастролях по России;</w:t>
            </w:r>
          </w:p>
          <w:p w:rsidR="00000000" w:rsidRDefault="007F406E">
            <w:pPr>
              <w:pStyle w:val="afff0"/>
              <w:ind w:left="139"/>
            </w:pPr>
            <w:r>
              <w:t>- количество зрителей на концертах для детско-юношеской аудитории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пользователей, удовлетворенных качеством услуг концертной организации, от общего числа зарегистрированных пользователей/от общего числа опрошенных пользователей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Учебно-методический центр культуры и искусства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44.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участников мероприятий п</w:t>
            </w:r>
            <w:r>
              <w:t>о сравнению с предыдущим годом 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45.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информационно-образовательных (просветительских) программ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lastRenderedPageBreak/>
              <w:t>46.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участников методических и координационно-учебных мероприятий к предыдущему отчетному периоду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47.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Доля мероприятий, направленных на развитие творческого потенциала детей и молодежи, в общем объеме мероприятий учреждения 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48.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Средняя посещаемость мероприятий (человек)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49.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Удельный вес населения, участвующего в платных мероприятиях, проводим</w:t>
            </w:r>
            <w:r>
              <w:t>ых учреждениями 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50.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детей, привлекаемых к участию в творческих мероприятиях, в общем числе детей 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изданий (методических сборников, буклетов, учебно-методической литературы и пр.)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объектов (песня, танец, обряд и т.д.), внесенных в электронный каталог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проведенных координационно-учебных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54.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лауреатов международных, всероссийских, межрегиональных и областных конкурсов и фестивалей (человек)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55.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пользователей, удовлетворенных качеством услуг учреждения, от общего числа зарегистрированных пользователей/от общего числа опрошенных пользователей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Информационно-туристический центр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56.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предоставленных ответов на поступившие запросы по вопросам развития туризма в Ленинградской области (в устной и письменной форме - в зависимости от формы запроса)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57.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туристских выставок, на которых организована презентация туристски</w:t>
            </w:r>
            <w:r>
              <w:t>х ресурсов и туристского продукта Ленинградской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58.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соэкспонентов единого стенда Ленинградской области (очных и заочных)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59.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изданных информационных (сувенирных) материалов о туристском потенциале Ленинградской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60.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организованных семинаров по вопросам развития территории на основе использования туристских ресурсов Ленинградской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участников семинаров по вопросам развития территории на основе использования туристских ресурсов Ленинградской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информационных материалов о туристско-рекреационном потенциале и туристском продукте Ленинградской области, ра</w:t>
            </w:r>
            <w:r>
              <w:t>змещенных в средствах массовой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пользователей, удовлетворенных качеством услуг учреждения, от общего числа зарегистрированных пользователей/от общего числа опрошенных пользователей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1"/>
            </w:pPr>
            <w:r>
              <w:t>Колледж культуры и искусства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64.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Фактическое количе</w:t>
            </w:r>
            <w:r>
              <w:t>ство обучающихся по основным профессиональным образовательным программам среднего профессионального образования углубленной подготовки от запланированного количества обучающихся по основным профессиональным образовательным программам среднего профессиональ</w:t>
            </w:r>
            <w:r>
              <w:t>ного образования углубленной подготовки (человек)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65.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 xml:space="preserve">Количество обучающихся по основным профессиональным образовательным программам среднего профессионального образования углубленной подготовки, отчисленных в отчетном году по неуспеваемости, от общего количества </w:t>
            </w:r>
            <w:r>
              <w:lastRenderedPageBreak/>
              <w:t>обучающихся по основным профессиональным образ</w:t>
            </w:r>
            <w:r>
              <w:t>овательным программам среднего профессионального образования углубленной подготовки (в процентах)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lastRenderedPageBreak/>
              <w:t>66.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выпускников, получивших диплом о среднем профессиональном образовании, от общего количества обучающихся на выпускном курсе по программам средн</w:t>
            </w:r>
            <w:r>
              <w:t>его профессионального образования углубленной подготовки (в процентах)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67.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выпускников образовательного учреждения, продолживших обучение и/или трудоустроившихся по профильной специальности, от общего количества обучающихся, завершивших обучени</w:t>
            </w:r>
            <w:r>
              <w:t>е по основным профессиональным образовательным программам среднего профессионального образования углубленной подготовки (в процентах)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68.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преподавательского состава образовательного учреждения, имеющих профессиональное образование, соответствую</w:t>
            </w:r>
            <w:r>
              <w:t>щее профилю преподаваемых дисциплин, систематически повышающих свою квалификацию, от общего количества преподавательского состава образовательного учреждения, имеющих профессиональное образование, соответствующее профилю преподаваемых дисциплин (в процента</w:t>
            </w:r>
            <w:r>
              <w:t>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69.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преподавателей, имеющих высшую и 1 категорию, от общего состава преподавателей образовательного учреждения (в процентах)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70.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лауреатов международных, всероссийских, межрегиональных и областных конкурсов и фестивалей (человек)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изданий (методические пособия; разработки, рекомендации, сборники заседаний, статьи, буклеты) (в единицах)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мастер-классов, семинаров, конференций, круглых столов по профилю деятельности образовательного учреждения (в единицах)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программ дополнительного профессионального образования, реализуемых образовательным учреждением (в единицах)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74.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заключенных договоров с учреждениями культуры и дополнительного образования для организации практического обучения (</w:t>
            </w:r>
            <w:r>
              <w:t>в единицах)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75.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проведенных творческих мероприятий (в единицах)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76.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слушателей, прошедших повышение квалификации по программам дополнительного профессионального образования в учреждении (человек)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77.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Публикации и освещение деятельности учреждения на официальном сайте в сети Интернет для размещения информации о государственных (муниципальных) учреждениях (bus.gov.ru)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78.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Число пользователей, удовлетворенных качеством услуг учреждения, от общего числа з</w:t>
            </w:r>
            <w:r>
              <w:t>арегистрированных пользователей/от общего числа опрошенных пользователей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</w:pP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Показатели эффективности, применяемые для всех видов Учреждений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79.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Уровень удовлетворенности граждан качеством предоставления учреждением государственных услуг в сфере культуры (в</w:t>
            </w:r>
            <w:r>
              <w:t xml:space="preserve"> процентах)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80.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Количество работников учреждения, прошедших повышение квалификации и(или) профессиональную подготовку (человек)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81.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Объем средств от оказания платных услуг и иной приносящей доход деятельности 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82.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>Публикации и освещение деятельности учреждения в средствах массовой информации (да/нет)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406E">
            <w:pPr>
              <w:pStyle w:val="aff7"/>
              <w:jc w:val="center"/>
            </w:pPr>
            <w:r>
              <w:t>83.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406E">
            <w:pPr>
              <w:pStyle w:val="afff0"/>
            </w:pPr>
            <w:r>
              <w:t xml:space="preserve">Публикации и освещение деятельности учреждения на официальном сайте в </w:t>
            </w:r>
            <w:r>
              <w:lastRenderedPageBreak/>
              <w:t>сети Интернет для размещения информации о государственных (муниципальных) учреждениях (bus.go</w:t>
            </w:r>
            <w:r>
              <w:t>v.ru)</w:t>
            </w:r>
          </w:p>
        </w:tc>
      </w:tr>
    </w:tbl>
    <w:p w:rsidR="00000000" w:rsidRDefault="007F406E"/>
    <w:p w:rsidR="00000000" w:rsidRDefault="007F406E"/>
    <w:p w:rsidR="007F406E" w:rsidRDefault="007F406E"/>
    <w:sectPr w:rsidR="007F406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B1"/>
    <w:rsid w:val="007F406E"/>
    <w:rsid w:val="00E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99202.0" TargetMode="External"/><Relationship Id="rId13" Type="http://schemas.openxmlformats.org/officeDocument/2006/relationships/hyperlink" Target="garantF1://22826828.2" TargetMode="External"/><Relationship Id="rId18" Type="http://schemas.openxmlformats.org/officeDocument/2006/relationships/hyperlink" Target="garantF1://2292682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5246756.0" TargetMode="External"/><Relationship Id="rId12" Type="http://schemas.openxmlformats.org/officeDocument/2006/relationships/hyperlink" Target="garantF1://22900583.0" TargetMode="External"/><Relationship Id="rId17" Type="http://schemas.openxmlformats.org/officeDocument/2006/relationships/hyperlink" Target="garantF1://22826828.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81732.50312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35246756.600" TargetMode="External"/><Relationship Id="rId11" Type="http://schemas.openxmlformats.org/officeDocument/2006/relationships/hyperlink" Target="garantF1://35284401.0" TargetMode="External"/><Relationship Id="rId5" Type="http://schemas.openxmlformats.org/officeDocument/2006/relationships/hyperlink" Target="garantF1://35243968.0" TargetMode="External"/><Relationship Id="rId15" Type="http://schemas.openxmlformats.org/officeDocument/2006/relationships/hyperlink" Target="garantF1://12084447.3738" TargetMode="External"/><Relationship Id="rId10" Type="http://schemas.openxmlformats.org/officeDocument/2006/relationships/hyperlink" Target="garantF1://35221458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5221458.2600" TargetMode="External"/><Relationship Id="rId14" Type="http://schemas.openxmlformats.org/officeDocument/2006/relationships/hyperlink" Target="garantF1://229268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2017-04-26T08:19:00Z</dcterms:created>
  <dcterms:modified xsi:type="dcterms:W3CDTF">2017-04-26T08:19:00Z</dcterms:modified>
</cp:coreProperties>
</file>